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A45304F" w:rsidR="00093CA9" w:rsidRDefault="004C515F"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C2E0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017E505" w:rsidR="00093CA9" w:rsidRPr="00F97670" w:rsidRDefault="00F90BA6" w:rsidP="00093CA9">
            <w:pPr>
              <w:rPr>
                <w:lang w:val="pt-BR"/>
              </w:rPr>
            </w:pPr>
            <w:proofErr w:type="spellStart"/>
            <w:r w:rsidRPr="00F97670">
              <w:rPr>
                <w:lang w:val="pt-BR"/>
              </w:rPr>
              <w:t>Resolution</w:t>
            </w:r>
            <w:proofErr w:type="spellEnd"/>
            <w:r w:rsidRPr="00F97670">
              <w:rPr>
                <w:lang w:val="pt-BR"/>
              </w:rPr>
              <w:t xml:space="preserve"> CNPE</w:t>
            </w:r>
            <w:r w:rsidR="00225892">
              <w:rPr>
                <w:lang w:val="pt-BR"/>
              </w:rPr>
              <w:t xml:space="preserve"> (</w:t>
            </w:r>
            <w:proofErr w:type="spellStart"/>
            <w:r w:rsidR="00225892" w:rsidRPr="00225892">
              <w:rPr>
                <w:lang w:val="pt-BR"/>
              </w:rPr>
              <w:t>National</w:t>
            </w:r>
            <w:proofErr w:type="spellEnd"/>
            <w:r w:rsidR="00225892" w:rsidRPr="00225892">
              <w:rPr>
                <w:lang w:val="pt-BR"/>
              </w:rPr>
              <w:t xml:space="preserve"> </w:t>
            </w:r>
            <w:proofErr w:type="spellStart"/>
            <w:r w:rsidR="00225892" w:rsidRPr="00225892">
              <w:rPr>
                <w:lang w:val="pt-BR"/>
              </w:rPr>
              <w:t>Council</w:t>
            </w:r>
            <w:proofErr w:type="spellEnd"/>
            <w:r w:rsidR="00225892" w:rsidRPr="00225892">
              <w:rPr>
                <w:lang w:val="pt-BR"/>
              </w:rPr>
              <w:t xml:space="preserve"> for Energy </w:t>
            </w:r>
            <w:proofErr w:type="spellStart"/>
            <w:r w:rsidR="00225892" w:rsidRPr="00225892">
              <w:rPr>
                <w:lang w:val="pt-BR"/>
              </w:rPr>
              <w:t>Policy</w:t>
            </w:r>
            <w:proofErr w:type="spellEnd"/>
            <w:r w:rsidR="00225892">
              <w:rPr>
                <w:lang w:val="pt-BR"/>
              </w:rPr>
              <w:t>)</w:t>
            </w:r>
            <w:r w:rsidRPr="00F97670">
              <w:rPr>
                <w:lang w:val="pt-BR"/>
              </w:rPr>
              <w:t xml:space="preserve"> No 5/</w:t>
            </w:r>
            <w:proofErr w:type="gramStart"/>
            <w:r w:rsidRPr="00F97670">
              <w:rPr>
                <w:lang w:val="pt-BR"/>
              </w:rPr>
              <w:t>2024  (</w:t>
            </w:r>
            <w:proofErr w:type="gramEnd"/>
            <w:r w:rsidRPr="00F97670">
              <w:rPr>
                <w:lang w:val="pt-BR"/>
              </w:rPr>
              <w:t xml:space="preserve">Resolução </w:t>
            </w:r>
            <w:r w:rsidR="00225892" w:rsidRPr="00225892">
              <w:rPr>
                <w:lang w:val="pt-BR"/>
              </w:rPr>
              <w:t>Conselho Nacional de Política Energética</w:t>
            </w:r>
            <w:r w:rsidR="00225892">
              <w:rPr>
                <w:lang w:val="pt-BR"/>
              </w:rPr>
              <w:t xml:space="preserve"> - </w:t>
            </w:r>
            <w:r w:rsidRPr="00F97670">
              <w:rPr>
                <w:lang w:val="pt-BR"/>
              </w:rPr>
              <w:t>CNPE nº 5/2024)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E7EAC9F" w:rsidR="00093CA9" w:rsidRDefault="00F97670" w:rsidP="00093CA9">
            <w:hyperlink r:id="rId17" w:history="1">
              <w:r w:rsidRPr="000859F8">
                <w:rPr>
                  <w:rStyle w:val="Hyperlink"/>
                </w:rPr>
                <w:t>https://www.gov.br/mme/pt-br/assuntos/conselhos-e-comites/cnpe/resolucoes-do-cnpe/2024/RESOL5IN.P</w:t>
              </w:r>
              <w:r w:rsidRPr="000859F8">
                <w:rPr>
                  <w:rStyle w:val="Hyperlink"/>
                </w:rPr>
                <w:t>D</w:t>
              </w:r>
              <w:r w:rsidRPr="000859F8">
                <w:rPr>
                  <w:rStyle w:val="Hyperlink"/>
                </w:rPr>
                <w:t>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3308295" w:rsidR="00093CA9" w:rsidRDefault="009C13D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37A9BEB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370E71E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FB9B0CD" w:rsidR="00093CA9" w:rsidRPr="0072713A" w:rsidRDefault="001638C0" w:rsidP="00093CA9">
            <w:pPr>
              <w:rPr>
                <w:lang w:val="en-US"/>
              </w:rPr>
            </w:pPr>
            <w:r w:rsidRPr="001638C0">
              <w:rPr>
                <w:lang w:val="en-US"/>
              </w:rPr>
              <w:t xml:space="preserve">CNPE Resolution No. 5/2024 establishes the National Energy Transition Policy (PNTE), aiming to guide Brazil’s shift toward a low-carbon energy matrix and support the country’s net-zero emissions goals. The PNTE </w:t>
            </w:r>
            <w:r>
              <w:rPr>
                <w:lang w:val="en-US"/>
              </w:rPr>
              <w:t xml:space="preserve">seeks to </w:t>
            </w:r>
            <w:r w:rsidRPr="001638C0">
              <w:rPr>
                <w:lang w:val="en-US"/>
              </w:rPr>
              <w:t>promote</w:t>
            </w:r>
            <w:r>
              <w:rPr>
                <w:lang w:val="en-US"/>
              </w:rPr>
              <w:t xml:space="preserve"> </w:t>
            </w:r>
            <w:r w:rsidRPr="001638C0">
              <w:rPr>
                <w:lang w:val="en-US"/>
              </w:rPr>
              <w:t>coordinated federal action with subnational entities, civil society, and the productive sector, aligned with climate commitments and economic development. Its guiding principles include climate mitigation and adaptation, energy security, universal access, competitiveness, and a just and inclusive transition. Two key instruments are introduced: the National Energy Transition Plan (Plante), a long-term strategic roadmap to consolidate and align government initiatives, and the National Energy Transition Forum (Fonte), a permanent consultative body for dialogue among government, civil society, and the private sector. The Ministry of Mines and Energy coordinates implementation, supported by the EPE and other ministries. Transparency, monitoring, and public participation are integral to the framework, and governance is overseen by the CNPE, with updates and materials to be published online</w:t>
            </w:r>
            <w:r>
              <w:rPr>
                <w:lang w:val="en-US"/>
              </w:rPr>
              <w:t xml:space="preserve">. </w:t>
            </w:r>
            <w:r w:rsidR="0072713A" w:rsidRPr="0072713A">
              <w:rPr>
                <w:lang w:val="en-US"/>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99642FC" w:rsidR="00093CA9" w:rsidRDefault="0072713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E5A7D4A" w:rsidR="00093CA9" w:rsidRPr="00173D7C" w:rsidRDefault="0072713A"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037E30E" w:rsidR="00093CA9" w:rsidRPr="00173D7C" w:rsidRDefault="0072713A"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B9E3A2C" w:rsidR="00093CA9" w:rsidRPr="00821054" w:rsidRDefault="00821054" w:rsidP="00093CA9">
            <w:r w:rsidRPr="00821054">
              <w:t>National Council for Energy Policy (CNPE). The CNPE is a high-level Brazilian governmental body responsible for advising the President on the formulation and implementation of national energy policies and guidelines. It plays a crucial role in defining strategic directions for the country's energy sector.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4E0E07" w:rsidR="00093CA9" w:rsidRPr="006B7B0D" w:rsidRDefault="00821054" w:rsidP="00093CA9">
            <w:r>
              <w:t xml:space="preserve">Ministry of Mines and Energy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E8BA7F4" w:rsidR="00093CA9" w:rsidRPr="006B7B0D" w:rsidRDefault="00773204"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C0AD53"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5F3FD4B" w:rsidR="00093CA9" w:rsidRDefault="00087F3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7EF84EC4" w14:textId="5067060E" w:rsidR="00087F36" w:rsidRPr="00087F36" w:rsidRDefault="00087F36" w:rsidP="00087F36">
            <w:pPr>
              <w:keepNext/>
              <w:rPr>
                <w:color w:val="000000" w:themeColor="text1"/>
                <w:lang w:val="en-US"/>
              </w:rPr>
            </w:pPr>
            <w:r w:rsidRPr="00087F36">
              <w:rPr>
                <w:color w:val="000000" w:themeColor="text1"/>
                <w:lang w:val="en-US"/>
              </w:rPr>
              <w:t>CNPE Resolution 5/2024 explicitly states that the National Council for Energy Policy (CNPE) will be the instance for evaluating the monitoring report of the National Energy Transition Plan (Article 16). This evaluation will be based on subsidies from the Ministry of Mines and Energy and periodic monitoring carried out by the National Energy Transition Forum (Article 11). The Fonte's actions include supporting the formulation, implementation, monitoring, and articulation of the PNTE, with actions to be consolidated into an annual Letter of Recommendations to the CNPE.</w:t>
            </w:r>
          </w:p>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AC2E0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F8CE10D" w:rsidR="00C4670C" w:rsidRPr="00C37D48" w:rsidRDefault="00EC465A"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1872183" w:rsidR="00C4670C" w:rsidRPr="00C37D48" w:rsidRDefault="00EC465A"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4E13A1F" w:rsidR="00C4670C" w:rsidRPr="00C37D48" w:rsidRDefault="00EC465A"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D880D96" w:rsidR="00C4670C" w:rsidRPr="00C37D48" w:rsidRDefault="00EC465A"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5DBFCFB"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DBEA7DA" w:rsidR="00C4670C" w:rsidRPr="00C37D48" w:rsidRDefault="00A86142"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00DD159" w:rsidR="00C4670C" w:rsidRPr="00C37D48" w:rsidRDefault="00EC465A"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A0F0633" w:rsidR="00C4670C" w:rsidRPr="00C37D48" w:rsidRDefault="00EC465A"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7ADF191" w:rsidR="00C4670C" w:rsidRPr="00C37D48" w:rsidRDefault="003F02EF"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7191215" w:rsidR="00C4670C" w:rsidRPr="00C37D48" w:rsidRDefault="003F02EF"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7D77145" w:rsidR="00C4670C" w:rsidRPr="00C37D48" w:rsidRDefault="003F02EF"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6F211C09" w:rsidR="00C4670C" w:rsidRPr="00C37D48" w:rsidRDefault="003F02EF"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2ECE38D" w:rsidR="00C4670C" w:rsidRPr="00C37D48" w:rsidRDefault="00EC465A"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43D7968" w:rsidR="00C4670C" w:rsidRPr="00C37D48" w:rsidRDefault="003F02EF"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6AA964AE" w:rsidR="004F276F" w:rsidRPr="00C37D48" w:rsidRDefault="003F02EF" w:rsidP="00C37D48">
            <w:pPr>
              <w:rPr>
                <w:rFonts w:ascii="Calibri" w:hAnsi="Calibri" w:cs="Calibri"/>
              </w:rPr>
            </w:pPr>
            <w:r w:rsidRPr="003F02EF">
              <w:rPr>
                <w:rFonts w:ascii="Calibri" w:hAnsi="Calibri" w:cs="Calibri"/>
              </w:rPr>
              <w:t>The policy tool, through the National Energy Transition Forum, engages broadly with "civil society" (which includes diverse groups beyond strictly not-for-profit organizations) to stimulate dialogue and consolidate national energy transition efforts.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37AC68EC" w:rsidR="004F276F" w:rsidRPr="00C37D48" w:rsidRDefault="00EE1BA1"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66CCBCB7" w:rsidR="004F276F" w:rsidRPr="00EE1BA1" w:rsidRDefault="00EE1BA1" w:rsidP="00C37D48">
            <w:pPr>
              <w:rPr>
                <w:rFonts w:ascii="Calibri" w:hAnsi="Calibri" w:cs="Calibri"/>
                <w:lang w:val="en-US"/>
              </w:rPr>
            </w:pPr>
            <w:r w:rsidRPr="00EE1BA1">
              <w:rPr>
                <w:rFonts w:ascii="Calibri" w:hAnsi="Calibri" w:cs="Calibri"/>
                <w:lang w:val="en-US"/>
              </w:rPr>
              <w:t>The PNTE aims for the "transformation of infrastructure, production and consumption of energy by the different sectors" (Art. 2, § 1). This broad scope implies that all sectors consuming or producing energy are subject to the policy's framework and will be influenced by its directives, making their alignment with the national energy transition efforts mandatory in the long term.</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AC2E0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57709BE9" w:rsidR="004F276F" w:rsidRPr="00C37D48" w:rsidRDefault="00EE1BA1" w:rsidP="00C37D48">
            <w:pPr>
              <w:rPr>
                <w:rFonts w:ascii="Calibri" w:hAnsi="Calibri" w:cs="Calibri"/>
              </w:rPr>
            </w:pPr>
            <w:r>
              <w:rPr>
                <w:rFonts w:ascii="Calibri" w:hAnsi="Calibri" w:cs="Calibri"/>
              </w:rPr>
              <w:t>T</w:t>
            </w:r>
            <w:r w:rsidRPr="00EE1BA1">
              <w:rPr>
                <w:rFonts w:ascii="Calibri" w:hAnsi="Calibri" w:cs="Calibri"/>
              </w:rPr>
              <w:t xml:space="preserve">he relevant </w:t>
            </w:r>
            <w:r w:rsidR="00A86142">
              <w:rPr>
                <w:rFonts w:ascii="Calibri" w:hAnsi="Calibri" w:cs="Calibri"/>
              </w:rPr>
              <w:t>requirements</w:t>
            </w:r>
            <w:r w:rsidR="00A86142" w:rsidRPr="00EE1BA1">
              <w:rPr>
                <w:rFonts w:ascii="Calibri" w:hAnsi="Calibri" w:cs="Calibri"/>
              </w:rPr>
              <w:t xml:space="preserve"> </w:t>
            </w:r>
            <w:r w:rsidRPr="00EE1BA1">
              <w:rPr>
                <w:rFonts w:ascii="Calibri" w:hAnsi="Calibri" w:cs="Calibri"/>
              </w:rPr>
              <w:t>is the entity's governmental nature or its integral involvement in the energy sector transformation.</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43F4FF69" w:rsidR="004F276F" w:rsidRPr="00C37D48" w:rsidRDefault="00EC44AD"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B56422F" w:rsidR="004F276F" w:rsidRPr="00C37D48" w:rsidRDefault="00EC44A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06E659E7" w14:textId="4E13959C" w:rsidR="003E0432" w:rsidRPr="00EC44AD" w:rsidRDefault="003E0432" w:rsidP="003E0432">
            <w:pPr>
              <w:rPr>
                <w:rFonts w:ascii="Calibri" w:hAnsi="Calibri" w:cs="Calibri"/>
                <w:lang w:val="en-US"/>
              </w:rPr>
            </w:pPr>
            <w:r w:rsidRPr="00EC44AD">
              <w:rPr>
                <w:rFonts w:ascii="Calibri" w:hAnsi="Calibri" w:cs="Calibri"/>
                <w:lang w:val="en-US"/>
              </w:rPr>
              <w:t>The resolution itself does not explicitly specify direct sanctions for non-compliance.</w:t>
            </w:r>
            <w:r>
              <w:rPr>
                <w:rFonts w:ascii="Calibri" w:hAnsi="Calibri" w:cs="Calibri"/>
                <w:lang w:val="en-US"/>
              </w:rPr>
              <w:t xml:space="preserve"> </w:t>
            </w:r>
            <w:r w:rsidRPr="00EC44AD">
              <w:rPr>
                <w:rFonts w:ascii="Calibri" w:hAnsi="Calibri" w:cs="Calibri"/>
                <w:lang w:val="en-US"/>
              </w:rPr>
              <w:t>This resolution is a high-level policy document that institutes the National Energy Transition Policy (PNTE), the National Energy Transition Plan (Plante), and the National Energy Transition Forum (Fonte). Its primary function is to establish a framework, guidelines, and coordination mechanisms for the energy transition at a national level, particularly for governmental bodies.</w:t>
            </w:r>
          </w:p>
          <w:p w14:paraId="643668F7" w14:textId="77777777" w:rsidR="00711F61" w:rsidRPr="003E0432" w:rsidRDefault="00711F61" w:rsidP="00C37D48">
            <w:pPr>
              <w:rPr>
                <w:rFonts w:ascii="Calibri" w:hAnsi="Calibri" w:cs="Calibri"/>
                <w:lang w:val="en-US"/>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35073627" w:rsidR="001F30DE" w:rsidRPr="00C37D48" w:rsidRDefault="003E0432"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03B46FBC" w:rsidR="001F30DE" w:rsidRPr="00C37D48" w:rsidRDefault="003E043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82D4E7F" w:rsidR="004F48E8" w:rsidRPr="00C37D48" w:rsidRDefault="005B4F54"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02940A06" w:rsidR="000A1365" w:rsidRPr="00C37D48" w:rsidRDefault="00E87D34"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333F0639" w:rsidR="00D27551" w:rsidRPr="00C37D48" w:rsidRDefault="00E87D34"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10740181" w:rsidR="00850F36" w:rsidRPr="00C37D48" w:rsidRDefault="00D777AA" w:rsidP="00C37D48">
            <w:pPr>
              <w:rPr>
                <w:rFonts w:ascii="Calibri" w:hAnsi="Calibri" w:cs="Calibri"/>
              </w:rPr>
            </w:pPr>
            <w:r>
              <w:rPr>
                <w:rFonts w:ascii="Calibri" w:hAnsi="Calibri" w:cs="Calibri"/>
              </w:rPr>
              <w:t>X</w:t>
            </w:r>
          </w:p>
        </w:tc>
        <w:tc>
          <w:tcPr>
            <w:tcW w:w="1456" w:type="dxa"/>
            <w:vAlign w:val="center"/>
          </w:tcPr>
          <w:p w14:paraId="5B340908" w14:textId="161A14E9"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1FDBBF75" w:rsidR="00850F36" w:rsidRPr="00C37D48" w:rsidRDefault="00FD4AE9"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E6B3E0C" w:rsidR="00850F36" w:rsidRPr="00C37D48" w:rsidRDefault="00D777AA" w:rsidP="00C37D48">
            <w:pPr>
              <w:rPr>
                <w:rFonts w:ascii="Calibri" w:hAnsi="Calibri" w:cs="Calibri"/>
              </w:rPr>
            </w:pPr>
            <w:r>
              <w:rPr>
                <w:rFonts w:ascii="Calibri" w:hAnsi="Calibri" w:cs="Calibri"/>
              </w:rPr>
              <w:t>X</w:t>
            </w:r>
          </w:p>
        </w:tc>
        <w:tc>
          <w:tcPr>
            <w:tcW w:w="1456" w:type="dxa"/>
            <w:vAlign w:val="center"/>
          </w:tcPr>
          <w:p w14:paraId="41A659E6" w14:textId="01A0EB44"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212D57CF" w:rsidR="00850F36" w:rsidRPr="00C37D48" w:rsidRDefault="00D777AA" w:rsidP="00C37D48">
            <w:pPr>
              <w:rPr>
                <w:rFonts w:ascii="Calibri" w:hAnsi="Calibri" w:cs="Calibri"/>
              </w:rPr>
            </w:pPr>
            <w:r>
              <w:rPr>
                <w:rFonts w:ascii="Calibri" w:hAnsi="Calibri" w:cs="Calibri"/>
              </w:rPr>
              <w:t>X</w:t>
            </w:r>
          </w:p>
        </w:tc>
        <w:tc>
          <w:tcPr>
            <w:tcW w:w="1456" w:type="dxa"/>
            <w:vAlign w:val="center"/>
          </w:tcPr>
          <w:p w14:paraId="1F1FF9DF" w14:textId="156E4129"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1CDBDEFE" w:rsidR="00850F36" w:rsidRPr="00C37D48" w:rsidRDefault="00FD4AE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892CA6C" w:rsidR="00850F36" w:rsidRPr="00C37D48" w:rsidRDefault="00D777AA" w:rsidP="00C37D48">
            <w:pPr>
              <w:rPr>
                <w:rFonts w:ascii="Calibri" w:hAnsi="Calibri" w:cs="Calibri"/>
              </w:rPr>
            </w:pPr>
            <w:r>
              <w:rPr>
                <w:rFonts w:ascii="Calibri" w:hAnsi="Calibri" w:cs="Calibri"/>
              </w:rPr>
              <w:t>X</w:t>
            </w:r>
          </w:p>
        </w:tc>
        <w:tc>
          <w:tcPr>
            <w:tcW w:w="1456" w:type="dxa"/>
            <w:vAlign w:val="center"/>
          </w:tcPr>
          <w:p w14:paraId="7E653E8C" w14:textId="41C670E0"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1632DECD" w:rsidR="00850F36" w:rsidRPr="00C37D48" w:rsidRDefault="00850F36" w:rsidP="00C37D48">
            <w:pPr>
              <w:rPr>
                <w:rFonts w:ascii="Calibri" w:hAnsi="Calibri" w:cs="Calibri"/>
              </w:rPr>
            </w:pPr>
          </w:p>
        </w:tc>
        <w:tc>
          <w:tcPr>
            <w:tcW w:w="1334" w:type="dxa"/>
            <w:vAlign w:val="center"/>
          </w:tcPr>
          <w:p w14:paraId="165727EB" w14:textId="3B012855" w:rsidR="00850F36" w:rsidRPr="00C37D48" w:rsidRDefault="00FD4AE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4CC3B296" w:rsidR="00850F36" w:rsidRPr="00C37D48" w:rsidRDefault="00850F36" w:rsidP="00C37D48">
            <w:pPr>
              <w:rPr>
                <w:rFonts w:ascii="Calibri" w:hAnsi="Calibri" w:cs="Calibri"/>
              </w:rPr>
            </w:pPr>
          </w:p>
        </w:tc>
        <w:tc>
          <w:tcPr>
            <w:tcW w:w="1334" w:type="dxa"/>
            <w:vAlign w:val="center"/>
          </w:tcPr>
          <w:p w14:paraId="50514BAB" w14:textId="019F187E" w:rsidR="00850F36" w:rsidRPr="00C37D48" w:rsidRDefault="00FD4AE9"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49B5CB2F" w:rsidR="00850F36" w:rsidRPr="00C37D48" w:rsidRDefault="00FD4AE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317B5A6E" w:rsidR="00850F36" w:rsidRPr="00C37D48" w:rsidRDefault="00D777AA" w:rsidP="00C37D48">
            <w:pPr>
              <w:rPr>
                <w:rFonts w:ascii="Calibri" w:hAnsi="Calibri" w:cs="Calibri"/>
              </w:rPr>
            </w:pPr>
            <w:r>
              <w:rPr>
                <w:rFonts w:ascii="Calibri" w:hAnsi="Calibri" w:cs="Calibri"/>
              </w:rPr>
              <w:t>X</w:t>
            </w:r>
          </w:p>
        </w:tc>
        <w:tc>
          <w:tcPr>
            <w:tcW w:w="1456" w:type="dxa"/>
            <w:vAlign w:val="center"/>
          </w:tcPr>
          <w:p w14:paraId="3CB19ED3" w14:textId="74E52271"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32CEA8E3" w:rsidR="00850F36" w:rsidRPr="00C37D48" w:rsidRDefault="00FD4AE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30DCCA27" w:rsidR="00850F36" w:rsidRPr="00C37D48" w:rsidRDefault="00D777AA" w:rsidP="00C37D48">
            <w:pPr>
              <w:rPr>
                <w:rFonts w:ascii="Calibri" w:hAnsi="Calibri" w:cs="Calibri"/>
              </w:rPr>
            </w:pPr>
            <w:r>
              <w:rPr>
                <w:rFonts w:ascii="Calibri" w:hAnsi="Calibri" w:cs="Calibri"/>
              </w:rPr>
              <w:t>X</w:t>
            </w:r>
          </w:p>
        </w:tc>
        <w:tc>
          <w:tcPr>
            <w:tcW w:w="1456" w:type="dxa"/>
            <w:vAlign w:val="center"/>
          </w:tcPr>
          <w:p w14:paraId="3475209D" w14:textId="15674223"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5D56328C" w:rsidR="00850F36" w:rsidRPr="00C37D48" w:rsidRDefault="00FD4AE9"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25ADAE9C" w:rsidR="00D9431B" w:rsidRPr="00845EAE" w:rsidRDefault="009834AC" w:rsidP="00845EAE">
            <w:pPr>
              <w:jc w:val="both"/>
              <w:rPr>
                <w:rFonts w:ascii="Calibri" w:hAnsi="Calibri" w:cs="Calibri"/>
                <w:lang w:val="en-US"/>
              </w:rPr>
            </w:pPr>
            <w:r w:rsidRPr="00845EAE">
              <w:rPr>
                <w:rFonts w:ascii="Calibri" w:hAnsi="Calibri" w:cs="Calibri"/>
              </w:rPr>
              <w:t xml:space="preserve">Article 2, I, defines "Energy Transition" as a process contributing to the "neutrality of the country's net GHG emissions." This </w:t>
            </w:r>
            <w:r w:rsidR="00D777AA">
              <w:rPr>
                <w:rFonts w:ascii="Calibri" w:hAnsi="Calibri" w:cs="Calibri"/>
              </w:rPr>
              <w:t xml:space="preserve">indicates the programmatic purpose of the policy tool to </w:t>
            </w:r>
            <w:r w:rsidRPr="00845EAE">
              <w:rPr>
                <w:rFonts w:ascii="Calibri" w:hAnsi="Calibri" w:cs="Calibri"/>
              </w:rPr>
              <w:t xml:space="preserve">establish a national net-zero </w:t>
            </w:r>
            <w:proofErr w:type="gramStart"/>
            <w:r w:rsidRPr="00845EAE">
              <w:rPr>
                <w:rFonts w:ascii="Calibri" w:hAnsi="Calibri" w:cs="Calibri"/>
              </w:rPr>
              <w:t>target</w:t>
            </w:r>
            <w:proofErr w:type="gramEnd"/>
            <w:r w:rsidRPr="00845EAE">
              <w:rPr>
                <w:rFonts w:ascii="Calibri" w:hAnsi="Calibri" w:cs="Calibri"/>
              </w:rPr>
              <w:t>.</w:t>
            </w:r>
            <w:r w:rsidRPr="00845EAE">
              <w:t xml:space="preserve"> </w:t>
            </w:r>
            <w:r w:rsidRPr="00845EAE">
              <w:rPr>
                <w:rFonts w:ascii="Calibri" w:hAnsi="Calibri" w:cs="Calibri"/>
              </w:rPr>
              <w:t>Article 3, I, states a guideline of the PNTE is to "promote measures of mitigation and adaptation to climate change in the energy sector, in line with the National Plan on Climate Change." This reinforces the need for emissions reductions across all GHGs.</w:t>
            </w:r>
            <w:r w:rsidRPr="00845EAE">
              <w:t xml:space="preserve"> </w:t>
            </w:r>
            <w:r w:rsidRPr="00845EAE">
              <w:rPr>
                <w:rFonts w:ascii="Calibri" w:hAnsi="Calibri" w:cs="Calibri"/>
              </w:rPr>
              <w:t>Article 7, I, specifies that the National Energy Transition Plan (Plante) will be structured considering a "sectoral approach, covering energy transition promotion actions by sector." This implies that targets and actions will be developed and implemented based on the specific characteristics and decarbonization potential of each sector.</w:t>
            </w:r>
            <w:r w:rsidR="00845EAE" w:rsidRPr="00845EAE">
              <w:rPr>
                <w:rFonts w:ascii="Calibri" w:hAnsi="Calibri" w:cs="Calibri"/>
              </w:rPr>
              <w:t xml:space="preserve"> </w:t>
            </w:r>
            <w:r w:rsidR="00845EAE" w:rsidRPr="00845EAE">
              <w:rPr>
                <w:rFonts w:ascii="Calibri" w:hAnsi="Calibri" w:cs="Calibri"/>
                <w:lang w:val="en-US"/>
              </w:rPr>
              <w:t xml:space="preserve">Article 3, I, sets as a guideline for the PNTE to "promote measures of mitigation and adaptation to climate change in the energy sector." Article 2, II, defines "Just and Inclusive Energy Transition" as one committed to "the promotion of equity and social participation, considering regional diversities and specificities, aiming at the reduction of energy poverty and inequalities." Article 3, V and VIII, includes among the PNTE's guidelines the "reduction of energy poverty and inequality" and the "recognition of regional diversity and specificities," which are key components of a just transition. </w:t>
            </w:r>
            <w:proofErr w:type="gramStart"/>
            <w:r w:rsidR="00D777AA">
              <w:rPr>
                <w:rFonts w:ascii="Calibri" w:hAnsi="Calibri" w:cs="Calibri"/>
                <w:lang w:val="en-US"/>
              </w:rPr>
              <w:t>Again</w:t>
            </w:r>
            <w:proofErr w:type="gramEnd"/>
            <w:r w:rsidR="00D777AA">
              <w:rPr>
                <w:rFonts w:ascii="Calibri" w:hAnsi="Calibri" w:cs="Calibri"/>
                <w:lang w:val="en-US"/>
              </w:rPr>
              <w:t xml:space="preserve"> under </w:t>
            </w:r>
            <w:proofErr w:type="gramStart"/>
            <w:r w:rsidR="00D777AA">
              <w:rPr>
                <w:rFonts w:ascii="Calibri" w:hAnsi="Calibri" w:cs="Calibri"/>
                <w:lang w:val="en-US"/>
              </w:rPr>
              <w:t>the still</w:t>
            </w:r>
            <w:proofErr w:type="gramEnd"/>
            <w:r w:rsidR="00D777AA">
              <w:rPr>
                <w:rFonts w:ascii="Calibri" w:hAnsi="Calibri" w:cs="Calibri"/>
                <w:lang w:val="en-US"/>
              </w:rPr>
              <w:t xml:space="preserve"> programmatic character of the policy tool, t</w:t>
            </w:r>
            <w:r w:rsidR="00845EAE" w:rsidRPr="00845EAE">
              <w:rPr>
                <w:rFonts w:ascii="Calibri" w:hAnsi="Calibri" w:cs="Calibri"/>
                <w:lang w:val="en-US"/>
              </w:rPr>
              <w:t>hese are qualitative goals that imply the need for measurable outcomes.</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40F3B19D" w:rsidR="000A1365" w:rsidRPr="00C37D48" w:rsidRDefault="005F69BD" w:rsidP="00C37D48">
            <w:pPr>
              <w:rPr>
                <w:rFonts w:ascii="Calibri" w:hAnsi="Calibri" w:cs="Calibri"/>
              </w:rPr>
            </w:pPr>
            <w:r>
              <w:rPr>
                <w:rFonts w:ascii="Calibri" w:hAnsi="Calibri" w:cs="Calibri"/>
              </w:rPr>
              <w:t>X</w:t>
            </w:r>
            <w:r w:rsidR="00572509">
              <w:rPr>
                <w:rFonts w:ascii="Calibri" w:hAnsi="Calibri" w:cs="Calibri"/>
              </w:rPr>
              <w:t xml:space="preserve"> (on the activities, not specifically on targets – see observation below)</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3E1B1FE3" w:rsidR="00C81DE5" w:rsidRPr="00C37D48" w:rsidRDefault="005F69BD"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7438B23F"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8F98577"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78216FF" w:rsidR="000A1365" w:rsidRPr="00C37D48" w:rsidRDefault="00B2791C"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472B8424" w:rsidR="000A1365" w:rsidRPr="00C37D48" w:rsidRDefault="00B2791C"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8E0BC8D" w:rsidR="000A1365" w:rsidRPr="00C37D48" w:rsidRDefault="00B2791C"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3319A265" w:rsidR="000A1365" w:rsidRPr="00C37D48" w:rsidRDefault="00B2791C"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7977D1E2" w:rsidR="000A1365" w:rsidRPr="00C37D48" w:rsidRDefault="00B2791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3C8702DA" w:rsidR="00D9431B" w:rsidRPr="00C37D48" w:rsidRDefault="00B2791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44C8D59" w:rsidR="004A4C51" w:rsidRPr="0049335E" w:rsidRDefault="0049335E" w:rsidP="00C37D48">
            <w:pPr>
              <w:rPr>
                <w:rFonts w:ascii="Calibri" w:hAnsi="Calibri" w:cs="Calibri"/>
                <w:lang w:val="en-US"/>
              </w:rPr>
            </w:pPr>
            <w:r w:rsidRPr="0049335E">
              <w:rPr>
                <w:rFonts w:ascii="Calibri" w:hAnsi="Calibri" w:cs="Calibri"/>
                <w:lang w:val="en-US"/>
              </w:rPr>
              <w:t>CNPE Resolution 5/2024, while aiming for the "neutrality of the country's net GHG emissions" (Article 2, I), does not make any other specific recommendations or requirements regarding the appropriate use of offsets beyond this overarching goal.</w:t>
            </w:r>
            <w:r w:rsidR="00572509">
              <w:rPr>
                <w:rFonts w:ascii="Calibri" w:hAnsi="Calibri" w:cs="Calibri"/>
                <w:lang w:val="en-US"/>
              </w:rPr>
              <w:t xml:space="preserve"> There is the provision of an annual report related to the </w:t>
            </w:r>
            <w:proofErr w:type="gramStart"/>
            <w:r w:rsidR="00572509">
              <w:rPr>
                <w:rFonts w:ascii="Calibri" w:hAnsi="Calibri" w:cs="Calibri"/>
                <w:lang w:val="en-US"/>
              </w:rPr>
              <w:t>activities’</w:t>
            </w:r>
            <w:proofErr w:type="gramEnd"/>
            <w:r w:rsidR="00572509">
              <w:rPr>
                <w:rFonts w:ascii="Calibri" w:hAnsi="Calibri" w:cs="Calibri"/>
                <w:lang w:val="en-US"/>
              </w:rPr>
              <w:t xml:space="preserve"> of Fonte to be </w:t>
            </w:r>
            <w:proofErr w:type="gramStart"/>
            <w:r w:rsidR="00572509">
              <w:rPr>
                <w:rFonts w:ascii="Calibri" w:hAnsi="Calibri" w:cs="Calibri"/>
                <w:lang w:val="en-US"/>
              </w:rPr>
              <w:t>prepared, but</w:t>
            </w:r>
            <w:proofErr w:type="gramEnd"/>
            <w:r w:rsidR="00572509">
              <w:rPr>
                <w:rFonts w:ascii="Calibri" w:hAnsi="Calibri" w:cs="Calibri"/>
                <w:lang w:val="en-US"/>
              </w:rPr>
              <w:t xml:space="preserve"> not necessarily linking it to emissions’ targets-related progress.</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21548745" w:rsidR="00890032" w:rsidRPr="00C37D48" w:rsidRDefault="0049335E"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7422694"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22615DB6"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0028C60A"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D337D32" w:rsidR="00B610C2" w:rsidRPr="00610F28" w:rsidRDefault="0049335E"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B56AD26" w:rsidR="00B610C2" w:rsidRPr="00610F28" w:rsidRDefault="0049335E"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73D574F" w:rsidR="00B610C2" w:rsidRPr="00610F28" w:rsidRDefault="0049335E"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74B36A2" w:rsidR="00B610C2" w:rsidRPr="00610F28" w:rsidRDefault="0049335E"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B7BC2E3" w:rsidR="00B610C2" w:rsidRPr="00610F28" w:rsidRDefault="0049335E"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5F056BB" w:rsidR="00B610C2" w:rsidRPr="00610F28" w:rsidRDefault="0049335E"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03C1CBA" w:rsidR="00B610C2" w:rsidRPr="00610F28" w:rsidRDefault="0049335E"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D26C86A" w:rsidR="00B610C2" w:rsidRPr="00610F28" w:rsidRDefault="0049335E"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3E350DE" w:rsidR="00B610C2" w:rsidRPr="00610F28" w:rsidRDefault="0049335E"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2A21DA0" w:rsidR="00B610C2" w:rsidRPr="00610F28" w:rsidRDefault="0049335E"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5211913" w:rsidR="00B610C2" w:rsidRPr="00610F28" w:rsidRDefault="00572509"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AC2E0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AC2E0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AC2E0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AC2E0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FC6443" w14:textId="77777777" w:rsidR="00F93842" w:rsidRDefault="00F93842" w:rsidP="00874E39">
      <w:r>
        <w:separator/>
      </w:r>
    </w:p>
  </w:endnote>
  <w:endnote w:type="continuationSeparator" w:id="0">
    <w:p w14:paraId="1AC04D7F" w14:textId="77777777" w:rsidR="00F93842" w:rsidRDefault="00F93842" w:rsidP="00874E39">
      <w:r>
        <w:continuationSeparator/>
      </w:r>
    </w:p>
  </w:endnote>
  <w:endnote w:type="continuationNotice" w:id="1">
    <w:p w14:paraId="1A9E618D" w14:textId="77777777" w:rsidR="00F93842" w:rsidRDefault="00F938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7543CD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10887D" w14:textId="77777777" w:rsidR="00F93842" w:rsidRDefault="00F93842" w:rsidP="00874E39">
      <w:r>
        <w:separator/>
      </w:r>
    </w:p>
  </w:footnote>
  <w:footnote w:type="continuationSeparator" w:id="0">
    <w:p w14:paraId="23953A04" w14:textId="77777777" w:rsidR="00F93842" w:rsidRDefault="00F93842" w:rsidP="00874E39">
      <w:r>
        <w:continuationSeparator/>
      </w:r>
    </w:p>
  </w:footnote>
  <w:footnote w:type="continuationNotice" w:id="1">
    <w:p w14:paraId="4BF30EFE" w14:textId="77777777" w:rsidR="00F93842" w:rsidRDefault="00F938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0A42DDC"/>
    <w:multiLevelType w:val="multilevel"/>
    <w:tmpl w:val="184C9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59427259">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F36"/>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8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03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2A7"/>
    <w:rsid w:val="00210E0F"/>
    <w:rsid w:val="00211851"/>
    <w:rsid w:val="002119B6"/>
    <w:rsid w:val="002122F2"/>
    <w:rsid w:val="0021535C"/>
    <w:rsid w:val="0021729E"/>
    <w:rsid w:val="00220F36"/>
    <w:rsid w:val="00222757"/>
    <w:rsid w:val="00222DFA"/>
    <w:rsid w:val="00222E01"/>
    <w:rsid w:val="0022414E"/>
    <w:rsid w:val="00224D9E"/>
    <w:rsid w:val="00225892"/>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EDF"/>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C89"/>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21D"/>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C9C"/>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432"/>
    <w:rsid w:val="003E38C7"/>
    <w:rsid w:val="003E43FE"/>
    <w:rsid w:val="003E7DD6"/>
    <w:rsid w:val="003F02EF"/>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35E"/>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515F"/>
    <w:rsid w:val="004C6739"/>
    <w:rsid w:val="004C70AC"/>
    <w:rsid w:val="004C76A9"/>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5A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50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4"/>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9BD"/>
    <w:rsid w:val="005F7A89"/>
    <w:rsid w:val="005F7AC4"/>
    <w:rsid w:val="00601397"/>
    <w:rsid w:val="0060224F"/>
    <w:rsid w:val="00602D74"/>
    <w:rsid w:val="0060378D"/>
    <w:rsid w:val="00603B3F"/>
    <w:rsid w:val="00605595"/>
    <w:rsid w:val="0060639F"/>
    <w:rsid w:val="006066A3"/>
    <w:rsid w:val="006068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05F"/>
    <w:rsid w:val="0064134E"/>
    <w:rsid w:val="00641484"/>
    <w:rsid w:val="00641E18"/>
    <w:rsid w:val="00641ECB"/>
    <w:rsid w:val="006422ED"/>
    <w:rsid w:val="006450DB"/>
    <w:rsid w:val="0064585A"/>
    <w:rsid w:val="00646CCB"/>
    <w:rsid w:val="0064705D"/>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4835"/>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13A"/>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204"/>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031"/>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79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054"/>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EAE"/>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A5F"/>
    <w:rsid w:val="00977BA5"/>
    <w:rsid w:val="009805DC"/>
    <w:rsid w:val="00981000"/>
    <w:rsid w:val="009818E7"/>
    <w:rsid w:val="00981AD6"/>
    <w:rsid w:val="0098226E"/>
    <w:rsid w:val="009834AC"/>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3DA"/>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142"/>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09A4"/>
    <w:rsid w:val="00AC2E03"/>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91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70F"/>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7AA"/>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D34"/>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4AD"/>
    <w:rsid w:val="00EC465A"/>
    <w:rsid w:val="00EC523C"/>
    <w:rsid w:val="00EC675B"/>
    <w:rsid w:val="00EC7098"/>
    <w:rsid w:val="00ED095F"/>
    <w:rsid w:val="00ED34A7"/>
    <w:rsid w:val="00ED6FE1"/>
    <w:rsid w:val="00ED77B0"/>
    <w:rsid w:val="00ED7E12"/>
    <w:rsid w:val="00EE04F1"/>
    <w:rsid w:val="00EE07D1"/>
    <w:rsid w:val="00EE1BA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BA6"/>
    <w:rsid w:val="00F921FF"/>
    <w:rsid w:val="00F93842"/>
    <w:rsid w:val="00F9442E"/>
    <w:rsid w:val="00F944F3"/>
    <w:rsid w:val="00F946F6"/>
    <w:rsid w:val="00F94F26"/>
    <w:rsid w:val="00F9516C"/>
    <w:rsid w:val="00F9576A"/>
    <w:rsid w:val="00F96F02"/>
    <w:rsid w:val="00F973EA"/>
    <w:rsid w:val="00F97670"/>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AE9"/>
    <w:rsid w:val="00FD4B6C"/>
    <w:rsid w:val="00FD5199"/>
    <w:rsid w:val="00FE081A"/>
    <w:rsid w:val="00FE0E9B"/>
    <w:rsid w:val="00FE0EA5"/>
    <w:rsid w:val="00FE20A2"/>
    <w:rsid w:val="00FE2B95"/>
    <w:rsid w:val="00FE2D66"/>
    <w:rsid w:val="00FE2E16"/>
    <w:rsid w:val="00FE3507"/>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845EAE"/>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858760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249088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159032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953193">
      <w:bodyDiv w:val="1"/>
      <w:marLeft w:val="0"/>
      <w:marRight w:val="0"/>
      <w:marTop w:val="0"/>
      <w:marBottom w:val="0"/>
      <w:divBdr>
        <w:top w:val="none" w:sz="0" w:space="0" w:color="auto"/>
        <w:left w:val="none" w:sz="0" w:space="0" w:color="auto"/>
        <w:bottom w:val="none" w:sz="0" w:space="0" w:color="auto"/>
        <w:right w:val="none" w:sz="0" w:space="0" w:color="auto"/>
      </w:divBdr>
    </w:div>
    <w:div w:id="1412896775">
      <w:bodyDiv w:val="1"/>
      <w:marLeft w:val="0"/>
      <w:marRight w:val="0"/>
      <w:marTop w:val="0"/>
      <w:marBottom w:val="0"/>
      <w:divBdr>
        <w:top w:val="none" w:sz="0" w:space="0" w:color="auto"/>
        <w:left w:val="none" w:sz="0" w:space="0" w:color="auto"/>
        <w:bottom w:val="none" w:sz="0" w:space="0" w:color="auto"/>
        <w:right w:val="none" w:sz="0" w:space="0" w:color="auto"/>
      </w:divBdr>
    </w:div>
    <w:div w:id="1640916621">
      <w:bodyDiv w:val="1"/>
      <w:marLeft w:val="0"/>
      <w:marRight w:val="0"/>
      <w:marTop w:val="0"/>
      <w:marBottom w:val="0"/>
      <w:divBdr>
        <w:top w:val="none" w:sz="0" w:space="0" w:color="auto"/>
        <w:left w:val="none" w:sz="0" w:space="0" w:color="auto"/>
        <w:bottom w:val="none" w:sz="0" w:space="0" w:color="auto"/>
        <w:right w:val="none" w:sz="0" w:space="0" w:color="auto"/>
      </w:divBdr>
    </w:div>
    <w:div w:id="1654917179">
      <w:bodyDiv w:val="1"/>
      <w:marLeft w:val="0"/>
      <w:marRight w:val="0"/>
      <w:marTop w:val="0"/>
      <w:marBottom w:val="0"/>
      <w:divBdr>
        <w:top w:val="none" w:sz="0" w:space="0" w:color="auto"/>
        <w:left w:val="none" w:sz="0" w:space="0" w:color="auto"/>
        <w:bottom w:val="none" w:sz="0" w:space="0" w:color="auto"/>
        <w:right w:val="none" w:sz="0" w:space="0" w:color="auto"/>
      </w:divBdr>
      <w:divsChild>
        <w:div w:id="693727115">
          <w:marLeft w:val="0"/>
          <w:marRight w:val="0"/>
          <w:marTop w:val="0"/>
          <w:marBottom w:val="0"/>
          <w:divBdr>
            <w:top w:val="none" w:sz="0" w:space="0" w:color="auto"/>
            <w:left w:val="none" w:sz="0" w:space="0" w:color="auto"/>
            <w:bottom w:val="none" w:sz="0" w:space="0" w:color="auto"/>
            <w:right w:val="none" w:sz="0" w:space="0" w:color="auto"/>
          </w:divBdr>
          <w:divsChild>
            <w:div w:id="1311521714">
              <w:marLeft w:val="0"/>
              <w:marRight w:val="0"/>
              <w:marTop w:val="0"/>
              <w:marBottom w:val="0"/>
              <w:divBdr>
                <w:top w:val="none" w:sz="0" w:space="0" w:color="auto"/>
                <w:left w:val="none" w:sz="0" w:space="0" w:color="auto"/>
                <w:bottom w:val="none" w:sz="0" w:space="0" w:color="auto"/>
                <w:right w:val="none" w:sz="0" w:space="0" w:color="auto"/>
              </w:divBdr>
              <w:divsChild>
                <w:div w:id="703948472">
                  <w:marLeft w:val="0"/>
                  <w:marRight w:val="0"/>
                  <w:marTop w:val="0"/>
                  <w:marBottom w:val="0"/>
                  <w:divBdr>
                    <w:top w:val="none" w:sz="0" w:space="0" w:color="auto"/>
                    <w:left w:val="none" w:sz="0" w:space="0" w:color="auto"/>
                    <w:bottom w:val="none" w:sz="0" w:space="0" w:color="auto"/>
                    <w:right w:val="none" w:sz="0" w:space="0" w:color="auto"/>
                  </w:divBdr>
                  <w:divsChild>
                    <w:div w:id="913467951">
                      <w:marLeft w:val="0"/>
                      <w:marRight w:val="0"/>
                      <w:marTop w:val="0"/>
                      <w:marBottom w:val="0"/>
                      <w:divBdr>
                        <w:top w:val="none" w:sz="0" w:space="0" w:color="auto"/>
                        <w:left w:val="none" w:sz="0" w:space="0" w:color="auto"/>
                        <w:bottom w:val="none" w:sz="0" w:space="0" w:color="auto"/>
                        <w:right w:val="none" w:sz="0" w:space="0" w:color="auto"/>
                      </w:divBdr>
                      <w:divsChild>
                        <w:div w:id="1425148583">
                          <w:marLeft w:val="0"/>
                          <w:marRight w:val="0"/>
                          <w:marTop w:val="0"/>
                          <w:marBottom w:val="0"/>
                          <w:divBdr>
                            <w:top w:val="none" w:sz="0" w:space="0" w:color="auto"/>
                            <w:left w:val="none" w:sz="0" w:space="0" w:color="auto"/>
                            <w:bottom w:val="none" w:sz="0" w:space="0" w:color="auto"/>
                            <w:right w:val="none" w:sz="0" w:space="0" w:color="auto"/>
                          </w:divBdr>
                          <w:divsChild>
                            <w:div w:id="669330521">
                              <w:marLeft w:val="0"/>
                              <w:marRight w:val="0"/>
                              <w:marTop w:val="0"/>
                              <w:marBottom w:val="0"/>
                              <w:divBdr>
                                <w:top w:val="none" w:sz="0" w:space="0" w:color="auto"/>
                                <w:left w:val="none" w:sz="0" w:space="0" w:color="auto"/>
                                <w:bottom w:val="none" w:sz="0" w:space="0" w:color="auto"/>
                                <w:right w:val="none" w:sz="0" w:space="0" w:color="auto"/>
                              </w:divBdr>
                              <w:divsChild>
                                <w:div w:id="1642225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84475085">
      <w:bodyDiv w:val="1"/>
      <w:marLeft w:val="0"/>
      <w:marRight w:val="0"/>
      <w:marTop w:val="0"/>
      <w:marBottom w:val="0"/>
      <w:divBdr>
        <w:top w:val="none" w:sz="0" w:space="0" w:color="auto"/>
        <w:left w:val="none" w:sz="0" w:space="0" w:color="auto"/>
        <w:bottom w:val="none" w:sz="0" w:space="0" w:color="auto"/>
        <w:right w:val="none" w:sz="0" w:space="0" w:color="auto"/>
      </w:divBdr>
      <w:divsChild>
        <w:div w:id="1679237148">
          <w:marLeft w:val="0"/>
          <w:marRight w:val="0"/>
          <w:marTop w:val="0"/>
          <w:marBottom w:val="0"/>
          <w:divBdr>
            <w:top w:val="none" w:sz="0" w:space="0" w:color="auto"/>
            <w:left w:val="none" w:sz="0" w:space="0" w:color="auto"/>
            <w:bottom w:val="none" w:sz="0" w:space="0" w:color="auto"/>
            <w:right w:val="none" w:sz="0" w:space="0" w:color="auto"/>
          </w:divBdr>
          <w:divsChild>
            <w:div w:id="1197431009">
              <w:marLeft w:val="0"/>
              <w:marRight w:val="0"/>
              <w:marTop w:val="0"/>
              <w:marBottom w:val="0"/>
              <w:divBdr>
                <w:top w:val="none" w:sz="0" w:space="0" w:color="auto"/>
                <w:left w:val="none" w:sz="0" w:space="0" w:color="auto"/>
                <w:bottom w:val="none" w:sz="0" w:space="0" w:color="auto"/>
                <w:right w:val="none" w:sz="0" w:space="0" w:color="auto"/>
              </w:divBdr>
              <w:divsChild>
                <w:div w:id="399452231">
                  <w:marLeft w:val="0"/>
                  <w:marRight w:val="0"/>
                  <w:marTop w:val="0"/>
                  <w:marBottom w:val="0"/>
                  <w:divBdr>
                    <w:top w:val="none" w:sz="0" w:space="0" w:color="auto"/>
                    <w:left w:val="none" w:sz="0" w:space="0" w:color="auto"/>
                    <w:bottom w:val="none" w:sz="0" w:space="0" w:color="auto"/>
                    <w:right w:val="none" w:sz="0" w:space="0" w:color="auto"/>
                  </w:divBdr>
                  <w:divsChild>
                    <w:div w:id="82654522">
                      <w:marLeft w:val="0"/>
                      <w:marRight w:val="0"/>
                      <w:marTop w:val="0"/>
                      <w:marBottom w:val="0"/>
                      <w:divBdr>
                        <w:top w:val="none" w:sz="0" w:space="0" w:color="auto"/>
                        <w:left w:val="none" w:sz="0" w:space="0" w:color="auto"/>
                        <w:bottom w:val="none" w:sz="0" w:space="0" w:color="auto"/>
                        <w:right w:val="none" w:sz="0" w:space="0" w:color="auto"/>
                      </w:divBdr>
                      <w:divsChild>
                        <w:div w:id="1658802799">
                          <w:marLeft w:val="0"/>
                          <w:marRight w:val="0"/>
                          <w:marTop w:val="0"/>
                          <w:marBottom w:val="0"/>
                          <w:divBdr>
                            <w:top w:val="none" w:sz="0" w:space="0" w:color="auto"/>
                            <w:left w:val="none" w:sz="0" w:space="0" w:color="auto"/>
                            <w:bottom w:val="none" w:sz="0" w:space="0" w:color="auto"/>
                            <w:right w:val="none" w:sz="0" w:space="0" w:color="auto"/>
                          </w:divBdr>
                          <w:divsChild>
                            <w:div w:id="1635524302">
                              <w:marLeft w:val="0"/>
                              <w:marRight w:val="0"/>
                              <w:marTop w:val="0"/>
                              <w:marBottom w:val="0"/>
                              <w:divBdr>
                                <w:top w:val="none" w:sz="0" w:space="0" w:color="auto"/>
                                <w:left w:val="none" w:sz="0" w:space="0" w:color="auto"/>
                                <w:bottom w:val="none" w:sz="0" w:space="0" w:color="auto"/>
                                <w:right w:val="none" w:sz="0" w:space="0" w:color="auto"/>
                              </w:divBdr>
                              <w:divsChild>
                                <w:div w:id="89635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8431834">
      <w:bodyDiv w:val="1"/>
      <w:marLeft w:val="0"/>
      <w:marRight w:val="0"/>
      <w:marTop w:val="0"/>
      <w:marBottom w:val="0"/>
      <w:divBdr>
        <w:top w:val="none" w:sz="0" w:space="0" w:color="auto"/>
        <w:left w:val="none" w:sz="0" w:space="0" w:color="auto"/>
        <w:bottom w:val="none" w:sz="0" w:space="0" w:color="auto"/>
        <w:right w:val="none" w:sz="0" w:space="0" w:color="auto"/>
      </w:divBdr>
      <w:divsChild>
        <w:div w:id="138964282">
          <w:marLeft w:val="0"/>
          <w:marRight w:val="0"/>
          <w:marTop w:val="0"/>
          <w:marBottom w:val="0"/>
          <w:divBdr>
            <w:top w:val="none" w:sz="0" w:space="0" w:color="auto"/>
            <w:left w:val="none" w:sz="0" w:space="0" w:color="auto"/>
            <w:bottom w:val="none" w:sz="0" w:space="0" w:color="auto"/>
            <w:right w:val="none" w:sz="0" w:space="0" w:color="auto"/>
          </w:divBdr>
          <w:divsChild>
            <w:div w:id="509098682">
              <w:marLeft w:val="0"/>
              <w:marRight w:val="0"/>
              <w:marTop w:val="0"/>
              <w:marBottom w:val="0"/>
              <w:divBdr>
                <w:top w:val="none" w:sz="0" w:space="0" w:color="auto"/>
                <w:left w:val="none" w:sz="0" w:space="0" w:color="auto"/>
                <w:bottom w:val="none" w:sz="0" w:space="0" w:color="auto"/>
                <w:right w:val="none" w:sz="0" w:space="0" w:color="auto"/>
              </w:divBdr>
              <w:divsChild>
                <w:div w:id="1137140223">
                  <w:marLeft w:val="0"/>
                  <w:marRight w:val="0"/>
                  <w:marTop w:val="0"/>
                  <w:marBottom w:val="0"/>
                  <w:divBdr>
                    <w:top w:val="none" w:sz="0" w:space="0" w:color="auto"/>
                    <w:left w:val="none" w:sz="0" w:space="0" w:color="auto"/>
                    <w:bottom w:val="none" w:sz="0" w:space="0" w:color="auto"/>
                    <w:right w:val="none" w:sz="0" w:space="0" w:color="auto"/>
                  </w:divBdr>
                  <w:divsChild>
                    <w:div w:id="1756703785">
                      <w:marLeft w:val="0"/>
                      <w:marRight w:val="0"/>
                      <w:marTop w:val="0"/>
                      <w:marBottom w:val="0"/>
                      <w:divBdr>
                        <w:top w:val="none" w:sz="0" w:space="0" w:color="auto"/>
                        <w:left w:val="none" w:sz="0" w:space="0" w:color="auto"/>
                        <w:bottom w:val="none" w:sz="0" w:space="0" w:color="auto"/>
                        <w:right w:val="none" w:sz="0" w:space="0" w:color="auto"/>
                      </w:divBdr>
                      <w:divsChild>
                        <w:div w:id="1049568868">
                          <w:marLeft w:val="0"/>
                          <w:marRight w:val="0"/>
                          <w:marTop w:val="0"/>
                          <w:marBottom w:val="0"/>
                          <w:divBdr>
                            <w:top w:val="none" w:sz="0" w:space="0" w:color="auto"/>
                            <w:left w:val="none" w:sz="0" w:space="0" w:color="auto"/>
                            <w:bottom w:val="none" w:sz="0" w:space="0" w:color="auto"/>
                            <w:right w:val="none" w:sz="0" w:space="0" w:color="auto"/>
                          </w:divBdr>
                          <w:divsChild>
                            <w:div w:id="926770595">
                              <w:marLeft w:val="0"/>
                              <w:marRight w:val="0"/>
                              <w:marTop w:val="0"/>
                              <w:marBottom w:val="0"/>
                              <w:divBdr>
                                <w:top w:val="none" w:sz="0" w:space="0" w:color="auto"/>
                                <w:left w:val="none" w:sz="0" w:space="0" w:color="auto"/>
                                <w:bottom w:val="none" w:sz="0" w:space="0" w:color="auto"/>
                                <w:right w:val="none" w:sz="0" w:space="0" w:color="auto"/>
                              </w:divBdr>
                              <w:divsChild>
                                <w:div w:id="1893077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5724645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1896359">
      <w:bodyDiv w:val="1"/>
      <w:marLeft w:val="0"/>
      <w:marRight w:val="0"/>
      <w:marTop w:val="0"/>
      <w:marBottom w:val="0"/>
      <w:divBdr>
        <w:top w:val="none" w:sz="0" w:space="0" w:color="auto"/>
        <w:left w:val="none" w:sz="0" w:space="0" w:color="auto"/>
        <w:bottom w:val="none" w:sz="0" w:space="0" w:color="auto"/>
        <w:right w:val="none" w:sz="0" w:space="0" w:color="auto"/>
      </w:divBdr>
    </w:div>
    <w:div w:id="2019235907">
      <w:bodyDiv w:val="1"/>
      <w:marLeft w:val="0"/>
      <w:marRight w:val="0"/>
      <w:marTop w:val="0"/>
      <w:marBottom w:val="0"/>
      <w:divBdr>
        <w:top w:val="none" w:sz="0" w:space="0" w:color="auto"/>
        <w:left w:val="none" w:sz="0" w:space="0" w:color="auto"/>
        <w:bottom w:val="none" w:sz="0" w:space="0" w:color="auto"/>
        <w:right w:val="none" w:sz="0" w:space="0" w:color="auto"/>
      </w:divBdr>
      <w:divsChild>
        <w:div w:id="419496409">
          <w:marLeft w:val="0"/>
          <w:marRight w:val="0"/>
          <w:marTop w:val="0"/>
          <w:marBottom w:val="0"/>
          <w:divBdr>
            <w:top w:val="none" w:sz="0" w:space="0" w:color="auto"/>
            <w:left w:val="none" w:sz="0" w:space="0" w:color="auto"/>
            <w:bottom w:val="none" w:sz="0" w:space="0" w:color="auto"/>
            <w:right w:val="none" w:sz="0" w:space="0" w:color="auto"/>
          </w:divBdr>
          <w:divsChild>
            <w:div w:id="1377852193">
              <w:marLeft w:val="0"/>
              <w:marRight w:val="0"/>
              <w:marTop w:val="0"/>
              <w:marBottom w:val="0"/>
              <w:divBdr>
                <w:top w:val="none" w:sz="0" w:space="0" w:color="auto"/>
                <w:left w:val="none" w:sz="0" w:space="0" w:color="auto"/>
                <w:bottom w:val="none" w:sz="0" w:space="0" w:color="auto"/>
                <w:right w:val="none" w:sz="0" w:space="0" w:color="auto"/>
              </w:divBdr>
              <w:divsChild>
                <w:div w:id="1214544083">
                  <w:marLeft w:val="0"/>
                  <w:marRight w:val="0"/>
                  <w:marTop w:val="0"/>
                  <w:marBottom w:val="0"/>
                  <w:divBdr>
                    <w:top w:val="none" w:sz="0" w:space="0" w:color="auto"/>
                    <w:left w:val="none" w:sz="0" w:space="0" w:color="auto"/>
                    <w:bottom w:val="none" w:sz="0" w:space="0" w:color="auto"/>
                    <w:right w:val="none" w:sz="0" w:space="0" w:color="auto"/>
                  </w:divBdr>
                  <w:divsChild>
                    <w:div w:id="1743944928">
                      <w:marLeft w:val="0"/>
                      <w:marRight w:val="0"/>
                      <w:marTop w:val="0"/>
                      <w:marBottom w:val="0"/>
                      <w:divBdr>
                        <w:top w:val="none" w:sz="0" w:space="0" w:color="auto"/>
                        <w:left w:val="none" w:sz="0" w:space="0" w:color="auto"/>
                        <w:bottom w:val="none" w:sz="0" w:space="0" w:color="auto"/>
                        <w:right w:val="none" w:sz="0" w:space="0" w:color="auto"/>
                      </w:divBdr>
                      <w:divsChild>
                        <w:div w:id="157158470">
                          <w:marLeft w:val="0"/>
                          <w:marRight w:val="0"/>
                          <w:marTop w:val="0"/>
                          <w:marBottom w:val="0"/>
                          <w:divBdr>
                            <w:top w:val="none" w:sz="0" w:space="0" w:color="auto"/>
                            <w:left w:val="none" w:sz="0" w:space="0" w:color="auto"/>
                            <w:bottom w:val="none" w:sz="0" w:space="0" w:color="auto"/>
                            <w:right w:val="none" w:sz="0" w:space="0" w:color="auto"/>
                          </w:divBdr>
                          <w:divsChild>
                            <w:div w:id="312416351">
                              <w:marLeft w:val="0"/>
                              <w:marRight w:val="0"/>
                              <w:marTop w:val="0"/>
                              <w:marBottom w:val="0"/>
                              <w:divBdr>
                                <w:top w:val="none" w:sz="0" w:space="0" w:color="auto"/>
                                <w:left w:val="none" w:sz="0" w:space="0" w:color="auto"/>
                                <w:bottom w:val="none" w:sz="0" w:space="0" w:color="auto"/>
                                <w:right w:val="none" w:sz="0" w:space="0" w:color="auto"/>
                              </w:divBdr>
                              <w:divsChild>
                                <w:div w:id="2133163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gov.br/mme/pt-br/assuntos/conselhos-e-comites/cnpe/resolucoes-do-cnpe/2024/RESOL5IN.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80E275-7C70-4C18-A562-BF28A69EBC04}"/>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21221</Words>
  <Characters>130087</Characters>
  <Application>Microsoft Office Word</Application>
  <DocSecurity>0</DocSecurity>
  <Lines>3097</Lines>
  <Paragraphs>988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2025-07-21T20:06:00Z</dcterms:created>
  <dcterms:modified xsi:type="dcterms:W3CDTF">2025-07-21T20:06:00Z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